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D35F1" w14:textId="77777777" w:rsidR="00B26193" w:rsidRDefault="00B26193"/>
    <w:p w14:paraId="263B2702" w14:textId="721E1794" w:rsidR="00120317" w:rsidRPr="00B26193" w:rsidRDefault="00B26193" w:rsidP="00B26193">
      <w:pPr>
        <w:ind w:left="-990" w:right="-900"/>
        <w:jc w:val="center"/>
        <w:rPr>
          <w:b/>
          <w:sz w:val="32"/>
          <w:szCs w:val="32"/>
        </w:rPr>
      </w:pPr>
      <w:r w:rsidRPr="00B26193">
        <w:rPr>
          <w:rFonts w:eastAsia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907945E" wp14:editId="72D3B2F0">
            <wp:simplePos x="0" y="0"/>
            <wp:positionH relativeFrom="column">
              <wp:posOffset>-609600</wp:posOffset>
            </wp:positionH>
            <wp:positionV relativeFrom="paragraph">
              <wp:posOffset>-571500</wp:posOffset>
            </wp:positionV>
            <wp:extent cx="6667217" cy="3289300"/>
            <wp:effectExtent l="0" t="0" r="0" b="0"/>
            <wp:wrapSquare wrapText="bothSides"/>
            <wp:docPr id="1" name="Picture 1" descr="ttp://i1.ytimg.com/vi/HGEMscZE5dY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1.ytimg.com/vi/HGEMscZE5dY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93"/>
                    <a:stretch/>
                  </pic:blipFill>
                  <pic:spPr bwMode="auto">
                    <a:xfrm>
                      <a:off x="0" y="0"/>
                      <a:ext cx="6667217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179" w:rsidRPr="00B26193">
        <w:rPr>
          <w:b/>
          <w:sz w:val="32"/>
          <w:szCs w:val="32"/>
        </w:rPr>
        <w:t>Notes from Crash Course’s US History</w:t>
      </w:r>
      <w:r w:rsidRPr="00B26193">
        <w:rPr>
          <w:b/>
          <w:sz w:val="32"/>
          <w:szCs w:val="32"/>
        </w:rPr>
        <w:t xml:space="preserve"> Episode #31</w:t>
      </w:r>
      <w:r w:rsidR="00474179" w:rsidRPr="00B26193">
        <w:rPr>
          <w:b/>
          <w:sz w:val="32"/>
          <w:szCs w:val="32"/>
        </w:rPr>
        <w:t>:  Women’</w:t>
      </w:r>
      <w:r w:rsidRPr="00B26193">
        <w:rPr>
          <w:b/>
          <w:sz w:val="32"/>
          <w:szCs w:val="32"/>
        </w:rPr>
        <w:t>s Suffrage</w:t>
      </w:r>
      <w:r w:rsidR="00EA2498">
        <w:rPr>
          <w:rStyle w:val="EndnoteReference"/>
          <w:b/>
          <w:sz w:val="32"/>
          <w:szCs w:val="32"/>
        </w:rPr>
        <w:endnoteReference w:id="1"/>
      </w:r>
    </w:p>
    <w:p w14:paraId="46544401" w14:textId="77777777" w:rsidR="00474179" w:rsidRDefault="00474179"/>
    <w:p w14:paraId="29C1B0C2" w14:textId="77777777" w:rsidR="00474179" w:rsidRDefault="00474179">
      <w:r>
        <w:t>19</w:t>
      </w:r>
      <w:r w:rsidRPr="00474179">
        <w:rPr>
          <w:vertAlign w:val="superscript"/>
        </w:rPr>
        <w:t>th</w:t>
      </w:r>
      <w:r>
        <w:t xml:space="preserve"> Amendment (1919)</w:t>
      </w:r>
    </w:p>
    <w:p w14:paraId="06A6C684" w14:textId="77777777" w:rsidR="00B26193" w:rsidRDefault="00B26193" w:rsidP="00B26193">
      <w:pPr>
        <w:pStyle w:val="ListParagraph"/>
        <w:numPr>
          <w:ilvl w:val="0"/>
          <w:numId w:val="5"/>
        </w:numPr>
      </w:pPr>
      <w:r>
        <w:t>Women get the vote earlier in the Western States (like Wyoming)</w:t>
      </w:r>
    </w:p>
    <w:p w14:paraId="471A66BB" w14:textId="77777777" w:rsidR="00B26193" w:rsidRDefault="00B26193" w:rsidP="00B26193">
      <w:pPr>
        <w:pStyle w:val="ListParagraph"/>
        <w:numPr>
          <w:ilvl w:val="1"/>
          <w:numId w:val="5"/>
        </w:numPr>
      </w:pPr>
      <w:r>
        <w:t>Largely because they are seen as more “equal partners” in the culture because of the agricultural needs</w:t>
      </w:r>
    </w:p>
    <w:p w14:paraId="5AE3F74A" w14:textId="77777777" w:rsidR="00474179" w:rsidRDefault="00474179"/>
    <w:p w14:paraId="7692A62D" w14:textId="77777777" w:rsidR="00474179" w:rsidRDefault="00474179">
      <w:r>
        <w:t>1890-1919 (Progressive Era / Women take a bigger role in society)</w:t>
      </w:r>
    </w:p>
    <w:p w14:paraId="72FDF372" w14:textId="77777777" w:rsidR="00474179" w:rsidRDefault="00474179"/>
    <w:p w14:paraId="13715A39" w14:textId="77777777" w:rsidR="00474179" w:rsidRDefault="00474179">
      <w:r>
        <w:t>Small % of women work, but those that do were typically from the lower classes</w:t>
      </w:r>
    </w:p>
    <w:p w14:paraId="7E9EEF48" w14:textId="77777777" w:rsidR="00474179" w:rsidRDefault="00474179" w:rsidP="00474179">
      <w:pPr>
        <w:pStyle w:val="ListParagraph"/>
        <w:numPr>
          <w:ilvl w:val="0"/>
          <w:numId w:val="1"/>
        </w:numPr>
      </w:pPr>
      <w:r>
        <w:t>Cultural norms held that if the man couldn’t support the household, he was looked down upon (exception: immigrant groups)</w:t>
      </w:r>
    </w:p>
    <w:p w14:paraId="324E8E4D" w14:textId="77777777" w:rsidR="00474179" w:rsidRDefault="00474179" w:rsidP="00474179">
      <w:pPr>
        <w:pStyle w:val="ListParagraph"/>
        <w:numPr>
          <w:ilvl w:val="0"/>
          <w:numId w:val="1"/>
        </w:numPr>
      </w:pPr>
      <w:r>
        <w:t>Typical jobs included domestic servants, office work, and garment making</w:t>
      </w:r>
    </w:p>
    <w:p w14:paraId="0AB5DE3E" w14:textId="77777777" w:rsidR="00474179" w:rsidRDefault="00474179" w:rsidP="00474179"/>
    <w:p w14:paraId="7E1BA1D3" w14:textId="77777777" w:rsidR="00474179" w:rsidRDefault="00474179" w:rsidP="00474179">
      <w:r>
        <w:t>Women became more active in this time period because:</w:t>
      </w:r>
    </w:p>
    <w:p w14:paraId="051C096D" w14:textId="77777777" w:rsidR="00474179" w:rsidRDefault="00474179" w:rsidP="00474179">
      <w:pPr>
        <w:pStyle w:val="ListParagraph"/>
        <w:numPr>
          <w:ilvl w:val="0"/>
          <w:numId w:val="2"/>
        </w:numPr>
      </w:pPr>
      <w:r>
        <w:t>More educated</w:t>
      </w:r>
    </w:p>
    <w:p w14:paraId="1FA2521F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More women had a base education due to school reforms</w:t>
      </w:r>
    </w:p>
    <w:p w14:paraId="31353998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Middle and Upper class women go to colleges</w:t>
      </w:r>
    </w:p>
    <w:p w14:paraId="61EF36E3" w14:textId="77777777" w:rsidR="00474179" w:rsidRDefault="00474179" w:rsidP="00474179">
      <w:pPr>
        <w:pStyle w:val="ListParagraph"/>
        <w:numPr>
          <w:ilvl w:val="0"/>
          <w:numId w:val="2"/>
        </w:numPr>
      </w:pPr>
      <w:r>
        <w:t>Mass Consumer Culture</w:t>
      </w:r>
    </w:p>
    <w:p w14:paraId="311984EC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Inventions (like the washing machine) increased work completion in less time</w:t>
      </w:r>
    </w:p>
    <w:p w14:paraId="3B0D1F23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Getting the best deal, using the influence of the wallet (Consumers League)</w:t>
      </w:r>
    </w:p>
    <w:p w14:paraId="01704D8C" w14:textId="77777777" w:rsidR="00474179" w:rsidRDefault="00474179" w:rsidP="00474179">
      <w:pPr>
        <w:pStyle w:val="ListParagraph"/>
        <w:numPr>
          <w:ilvl w:val="0"/>
          <w:numId w:val="2"/>
        </w:numPr>
      </w:pPr>
      <w:r>
        <w:t>Changing cultural norms</w:t>
      </w:r>
    </w:p>
    <w:p w14:paraId="4C5BA071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Women had more property and personal rights</w:t>
      </w:r>
    </w:p>
    <w:p w14:paraId="7226EBCF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Working gave women independence and a larger social circle than just family</w:t>
      </w:r>
    </w:p>
    <w:p w14:paraId="5A316AEB" w14:textId="77777777" w:rsidR="00474179" w:rsidRDefault="00474179" w:rsidP="00474179">
      <w:pPr>
        <w:pStyle w:val="ListParagraph"/>
        <w:numPr>
          <w:ilvl w:val="0"/>
          <w:numId w:val="2"/>
        </w:numPr>
      </w:pPr>
      <w:r>
        <w:t>Birth Control</w:t>
      </w:r>
    </w:p>
    <w:p w14:paraId="34DFA9FD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Margaret Sanger and condoms (morality vs. freedom)</w:t>
      </w:r>
    </w:p>
    <w:p w14:paraId="038928FA" w14:textId="77777777" w:rsidR="00474179" w:rsidRDefault="00474179" w:rsidP="00474179">
      <w:pPr>
        <w:pStyle w:val="ListParagraph"/>
        <w:numPr>
          <w:ilvl w:val="1"/>
          <w:numId w:val="2"/>
        </w:numPr>
      </w:pPr>
      <w:r>
        <w:t>Family planning led women to have more options than before</w:t>
      </w:r>
    </w:p>
    <w:p w14:paraId="3FF5BF09" w14:textId="417E24E5" w:rsidR="00474179" w:rsidRDefault="00474179" w:rsidP="00474179">
      <w:r>
        <w:lastRenderedPageBreak/>
        <w:t>The reforms they sought?</w:t>
      </w:r>
    </w:p>
    <w:p w14:paraId="51AE894C" w14:textId="77777777" w:rsidR="00474179" w:rsidRDefault="00474179" w:rsidP="00474179"/>
    <w:p w14:paraId="2FD5F7F6" w14:textId="77777777" w:rsidR="00474179" w:rsidRDefault="00474179" w:rsidP="00474179">
      <w:r>
        <w:t>Prohibition</w:t>
      </w:r>
    </w:p>
    <w:p w14:paraId="3E96598E" w14:textId="040A9CD3" w:rsidR="00474179" w:rsidRDefault="00474179" w:rsidP="00474179">
      <w:pPr>
        <w:pStyle w:val="ListParagraph"/>
        <w:numPr>
          <w:ilvl w:val="0"/>
          <w:numId w:val="3"/>
        </w:numPr>
      </w:pPr>
      <w:r>
        <w:t>Grows out of the Temperance Movement</w:t>
      </w:r>
    </w:p>
    <w:p w14:paraId="28F6777A" w14:textId="77777777" w:rsidR="00474179" w:rsidRDefault="00474179" w:rsidP="00474179">
      <w:pPr>
        <w:pStyle w:val="ListParagraph"/>
        <w:numPr>
          <w:ilvl w:val="0"/>
          <w:numId w:val="3"/>
        </w:numPr>
      </w:pPr>
      <w:r>
        <w:t>Lead group – WCTU (Women’s Christian Temperance Union)</w:t>
      </w:r>
    </w:p>
    <w:p w14:paraId="12524376" w14:textId="77777777" w:rsidR="00474179" w:rsidRDefault="00474179" w:rsidP="00474179">
      <w:pPr>
        <w:pStyle w:val="ListParagraph"/>
        <w:numPr>
          <w:ilvl w:val="0"/>
          <w:numId w:val="3"/>
        </w:numPr>
      </w:pPr>
      <w:r>
        <w:t>Lead activist – Francis Willard</w:t>
      </w:r>
    </w:p>
    <w:p w14:paraId="78F2CBEC" w14:textId="77777777" w:rsidR="00474179" w:rsidRDefault="00474179" w:rsidP="00474179">
      <w:pPr>
        <w:pStyle w:val="ListParagraph"/>
        <w:numPr>
          <w:ilvl w:val="0"/>
          <w:numId w:val="3"/>
        </w:numPr>
      </w:pPr>
      <w:r>
        <w:t>Leads to local, then state, then national (18</w:t>
      </w:r>
      <w:r w:rsidRPr="00474179">
        <w:rPr>
          <w:vertAlign w:val="superscript"/>
        </w:rPr>
        <w:t>th</w:t>
      </w:r>
      <w:r>
        <w:t xml:space="preserve"> amendment) bans during this time period</w:t>
      </w:r>
    </w:p>
    <w:p w14:paraId="15861692" w14:textId="77777777" w:rsidR="00474179" w:rsidRDefault="00474179" w:rsidP="00474179"/>
    <w:p w14:paraId="541CA000" w14:textId="57F0AE37" w:rsidR="00474179" w:rsidRDefault="00474179" w:rsidP="00474179">
      <w:r>
        <w:t>Urban assistance to the poor</w:t>
      </w:r>
    </w:p>
    <w:p w14:paraId="69330C58" w14:textId="77777777" w:rsidR="00474179" w:rsidRDefault="00474179" w:rsidP="00474179">
      <w:pPr>
        <w:pStyle w:val="ListParagraph"/>
        <w:numPr>
          <w:ilvl w:val="0"/>
          <w:numId w:val="4"/>
        </w:numPr>
      </w:pPr>
      <w:r>
        <w:t>Can’t keep children safe if society is not safe</w:t>
      </w:r>
    </w:p>
    <w:p w14:paraId="666D7ED5" w14:textId="77777777" w:rsidR="00474179" w:rsidRDefault="00474179" w:rsidP="00474179">
      <w:pPr>
        <w:pStyle w:val="ListParagraph"/>
        <w:numPr>
          <w:ilvl w:val="0"/>
          <w:numId w:val="4"/>
        </w:numPr>
      </w:pPr>
      <w:r>
        <w:t>Creation of settlement houses (think: “welcome to the city” training wheels)</w:t>
      </w:r>
    </w:p>
    <w:p w14:paraId="11A79CAE" w14:textId="77777777" w:rsidR="00474179" w:rsidRDefault="00474179" w:rsidP="00474179">
      <w:pPr>
        <w:pStyle w:val="ListParagraph"/>
        <w:numPr>
          <w:ilvl w:val="0"/>
          <w:numId w:val="4"/>
        </w:numPr>
      </w:pPr>
      <w:r>
        <w:t>Lead groups – Hull House, YMCA, YWCA</w:t>
      </w:r>
    </w:p>
    <w:p w14:paraId="663276E1" w14:textId="77777777" w:rsidR="00474179" w:rsidRDefault="00474179" w:rsidP="00474179">
      <w:pPr>
        <w:pStyle w:val="ListParagraph"/>
        <w:numPr>
          <w:ilvl w:val="0"/>
          <w:numId w:val="4"/>
        </w:numPr>
      </w:pPr>
      <w:r>
        <w:t>Lead activist – Jane Addams</w:t>
      </w:r>
    </w:p>
    <w:p w14:paraId="00E8A605" w14:textId="013A3B98" w:rsidR="00AD631F" w:rsidRDefault="00AD631F" w:rsidP="00364400">
      <w:bookmarkStart w:id="0" w:name="_GoBack"/>
      <w:bookmarkEnd w:id="0"/>
    </w:p>
    <w:p w14:paraId="2D9708DF" w14:textId="2549D4C2" w:rsidR="00364400" w:rsidRDefault="00364400" w:rsidP="00364400">
      <w:r>
        <w:t>Right to vote (Suffrage)</w:t>
      </w:r>
    </w:p>
    <w:p w14:paraId="2645B80C" w14:textId="77C0D048" w:rsidR="00364400" w:rsidRDefault="00AD631F" w:rsidP="00AD631F">
      <w:pPr>
        <w:pStyle w:val="ListParagraph"/>
        <w:numPr>
          <w:ilvl w:val="0"/>
          <w:numId w:val="6"/>
        </w:numPr>
        <w:ind w:right="-180"/>
      </w:pPr>
      <w:r>
        <w:t>14</w:t>
      </w:r>
      <w:r w:rsidR="00364400">
        <w:t xml:space="preserve"> states ga</w:t>
      </w:r>
      <w:r>
        <w:t>ve full suffrage before 1919, 12</w:t>
      </w:r>
      <w:r w:rsidR="00364400">
        <w:t xml:space="preserve"> had “partial” suffrage</w:t>
      </w:r>
      <w:r>
        <w:t xml:space="preserve"> before 1919</w:t>
      </w:r>
    </w:p>
    <w:p w14:paraId="63CF20EA" w14:textId="41DBC9A0" w:rsidR="00AD631F" w:rsidRDefault="00AD631F" w:rsidP="00AD631F">
      <w:pPr>
        <w:pStyle w:val="ListParagraph"/>
        <w:numPr>
          <w:ilvl w:val="1"/>
          <w:numId w:val="6"/>
        </w:numPr>
        <w:ind w:right="-180"/>
      </w:pPr>
      <w:r>
        <w:t>One of the reasons why the 18</w:t>
      </w:r>
      <w:r w:rsidRPr="00AD631F">
        <w:rPr>
          <w:vertAlign w:val="superscript"/>
        </w:rPr>
        <w:t>th</w:t>
      </w:r>
      <w:r>
        <w:t xml:space="preserve"> amendment (banning alcohol) occurred “before” women had the right to vote</w:t>
      </w:r>
    </w:p>
    <w:p w14:paraId="60E2D81F" w14:textId="7FA750D2" w:rsidR="00364400" w:rsidRDefault="00364400" w:rsidP="00364400">
      <w:pPr>
        <w:pStyle w:val="ListParagraph"/>
        <w:numPr>
          <w:ilvl w:val="0"/>
          <w:numId w:val="6"/>
        </w:numPr>
      </w:pPr>
      <w:r>
        <w:t>Resisted in the South (and, sadly, Delaware) for fears that gains for women would help African-Americans “restore” their rights</w:t>
      </w:r>
    </w:p>
    <w:p w14:paraId="49F9FA79" w14:textId="701BCEBB" w:rsidR="00364400" w:rsidRDefault="00364400" w:rsidP="00364400">
      <w:pPr>
        <w:pStyle w:val="ListParagraph"/>
        <w:numPr>
          <w:ilvl w:val="0"/>
          <w:numId w:val="6"/>
        </w:numPr>
      </w:pPr>
      <w:r>
        <w:t>The abuse of non-violent protesters and work by women for the war effort (WWI) turns public opinion toward the cause by 1919</w:t>
      </w:r>
    </w:p>
    <w:p w14:paraId="2F5389B0" w14:textId="6188206A" w:rsidR="00364400" w:rsidRDefault="00364400" w:rsidP="00364400">
      <w:pPr>
        <w:pStyle w:val="ListParagraph"/>
        <w:numPr>
          <w:ilvl w:val="0"/>
          <w:numId w:val="6"/>
        </w:numPr>
      </w:pPr>
      <w:r>
        <w:t>Federal government enacts the 19</w:t>
      </w:r>
      <w:r w:rsidRPr="00364400">
        <w:rPr>
          <w:vertAlign w:val="superscript"/>
        </w:rPr>
        <w:t>th</w:t>
      </w:r>
      <w:r>
        <w:t xml:space="preserve"> amendment, becomes official when Tennessee becomes the 36</w:t>
      </w:r>
      <w:r w:rsidRPr="00364400">
        <w:rPr>
          <w:vertAlign w:val="superscript"/>
        </w:rPr>
        <w:t>th</w:t>
      </w:r>
      <w:r>
        <w:t xml:space="preserve"> state to ratify it 1920</w:t>
      </w:r>
    </w:p>
    <w:p w14:paraId="5E78F627" w14:textId="2F352E80" w:rsidR="00364400" w:rsidRDefault="00364400" w:rsidP="00364400">
      <w:pPr>
        <w:pStyle w:val="ListParagraph"/>
        <w:numPr>
          <w:ilvl w:val="1"/>
          <w:numId w:val="6"/>
        </w:numPr>
      </w:pPr>
      <w:r>
        <w:t>The Story of Harry Burn</w:t>
      </w:r>
    </w:p>
    <w:p w14:paraId="6295FD77" w14:textId="12611E8B" w:rsidR="009C41C2" w:rsidRDefault="009C41C2" w:rsidP="009C41C2">
      <w:pPr>
        <w:pStyle w:val="ListParagraph"/>
        <w:numPr>
          <w:ilvl w:val="1"/>
          <w:numId w:val="6"/>
        </w:numPr>
        <w:ind w:right="-270"/>
      </w:pPr>
      <w:hyperlink r:id="rId9" w:history="1">
        <w:r w:rsidRPr="00D8573D">
          <w:rPr>
            <w:rStyle w:val="Hyperlink"/>
          </w:rPr>
          <w:t>http://www.teachamericanhistory.org/File/harry_T._Burn_Top_10.pdf</w:t>
        </w:r>
      </w:hyperlink>
    </w:p>
    <w:p w14:paraId="7FB082D1" w14:textId="0B6D2EF1" w:rsidR="009C41C2" w:rsidRDefault="009C41C2" w:rsidP="009C41C2">
      <w:pPr>
        <w:pStyle w:val="ListParagraph"/>
        <w:numPr>
          <w:ilvl w:val="1"/>
          <w:numId w:val="6"/>
        </w:numPr>
        <w:ind w:right="-450"/>
      </w:pPr>
      <w:hyperlink r:id="rId10" w:history="1">
        <w:r w:rsidRPr="00D8573D">
          <w:rPr>
            <w:rStyle w:val="Hyperlink"/>
          </w:rPr>
          <w:t>http://www.teachamericanhistory.org/File/Harry_T._Burn.pdf</w:t>
        </w:r>
      </w:hyperlink>
    </w:p>
    <w:p w14:paraId="27D2CE2D" w14:textId="77777777" w:rsidR="00AD631F" w:rsidRDefault="00AD631F" w:rsidP="00AD631F"/>
    <w:p w14:paraId="050C9907" w14:textId="1C702D49" w:rsidR="00AD631F" w:rsidRDefault="00AD631F" w:rsidP="00AD631F">
      <w:r>
        <w:t>Two Groups behind the Suffrage Movement</w:t>
      </w:r>
    </w:p>
    <w:p w14:paraId="5DF1B316" w14:textId="275C3D99" w:rsidR="00AD631F" w:rsidRDefault="00AD631F" w:rsidP="00AD631F">
      <w:pPr>
        <w:pStyle w:val="ListParagraph"/>
        <w:numPr>
          <w:ilvl w:val="0"/>
          <w:numId w:val="7"/>
        </w:numPr>
      </w:pPr>
      <w:r>
        <w:t>NAWSA (National American Women’s Suffrage Association)</w:t>
      </w:r>
    </w:p>
    <w:p w14:paraId="7267ACA3" w14:textId="32163F84" w:rsidR="00AD631F" w:rsidRDefault="00AD631F" w:rsidP="00AD631F">
      <w:pPr>
        <w:pStyle w:val="ListParagraph"/>
        <w:numPr>
          <w:ilvl w:val="1"/>
          <w:numId w:val="7"/>
        </w:numPr>
      </w:pPr>
      <w:r>
        <w:t>Leader:  Carrie Chapman Catt</w:t>
      </w:r>
    </w:p>
    <w:p w14:paraId="33828ADE" w14:textId="0B991771" w:rsidR="00AD631F" w:rsidRDefault="00AD631F" w:rsidP="00AD631F">
      <w:pPr>
        <w:pStyle w:val="ListParagraph"/>
        <w:numPr>
          <w:ilvl w:val="1"/>
          <w:numId w:val="7"/>
        </w:numPr>
      </w:pPr>
      <w:r>
        <w:t>Mostly older, middle and upper class women</w:t>
      </w:r>
    </w:p>
    <w:p w14:paraId="1A8F6EC4" w14:textId="28664FF4" w:rsidR="00AD631F" w:rsidRDefault="00AD631F" w:rsidP="00AD631F">
      <w:pPr>
        <w:pStyle w:val="ListParagraph"/>
        <w:numPr>
          <w:ilvl w:val="1"/>
          <w:numId w:val="7"/>
        </w:numPr>
      </w:pPr>
      <w:r>
        <w:t>Focused on local and state levels instead of a national campaign</w:t>
      </w:r>
    </w:p>
    <w:p w14:paraId="0B251369" w14:textId="01482273" w:rsidR="00AD631F" w:rsidRDefault="00AD631F" w:rsidP="00AD631F">
      <w:pPr>
        <w:pStyle w:val="ListParagraph"/>
        <w:numPr>
          <w:ilvl w:val="1"/>
          <w:numId w:val="7"/>
        </w:numPr>
      </w:pPr>
      <w:r>
        <w:t>Used fund raising, petitions, and speeches to advance cause</w:t>
      </w:r>
    </w:p>
    <w:p w14:paraId="78160EF1" w14:textId="553284A3" w:rsidR="00AD631F" w:rsidRDefault="00AD631F" w:rsidP="00AD631F">
      <w:pPr>
        <w:pStyle w:val="ListParagraph"/>
        <w:numPr>
          <w:ilvl w:val="0"/>
          <w:numId w:val="7"/>
        </w:numPr>
      </w:pPr>
      <w:r>
        <w:t>National Women’s Party</w:t>
      </w:r>
    </w:p>
    <w:p w14:paraId="304EAC3E" w14:textId="2F971359" w:rsidR="00AD631F" w:rsidRDefault="00AD631F" w:rsidP="00AD631F">
      <w:pPr>
        <w:pStyle w:val="ListParagraph"/>
        <w:numPr>
          <w:ilvl w:val="1"/>
          <w:numId w:val="7"/>
        </w:numPr>
      </w:pPr>
      <w:r>
        <w:t>Leader:  Alice Paul</w:t>
      </w:r>
    </w:p>
    <w:p w14:paraId="0E175150" w14:textId="6AD75F18" w:rsidR="00AD631F" w:rsidRDefault="00AD631F" w:rsidP="00AD631F">
      <w:pPr>
        <w:pStyle w:val="ListParagraph"/>
        <w:numPr>
          <w:ilvl w:val="1"/>
          <w:numId w:val="7"/>
        </w:numPr>
      </w:pPr>
      <w:r>
        <w:t>Mostly younger, college educated women</w:t>
      </w:r>
    </w:p>
    <w:p w14:paraId="51CE1A64" w14:textId="2863882E" w:rsidR="00AD631F" w:rsidRDefault="00AD631F" w:rsidP="00AD631F">
      <w:pPr>
        <w:pStyle w:val="ListParagraph"/>
        <w:numPr>
          <w:ilvl w:val="1"/>
          <w:numId w:val="7"/>
        </w:numPr>
      </w:pPr>
      <w:r>
        <w:t>Focused on a national campaign</w:t>
      </w:r>
    </w:p>
    <w:p w14:paraId="636803B8" w14:textId="0740F5B8" w:rsidR="00AD631F" w:rsidRDefault="00AD631F" w:rsidP="00AD631F">
      <w:pPr>
        <w:pStyle w:val="ListParagraph"/>
        <w:numPr>
          <w:ilvl w:val="1"/>
          <w:numId w:val="7"/>
        </w:numPr>
      </w:pPr>
      <w:r>
        <w:t>Used parades, non-violent demonstrations, hunger strikes</w:t>
      </w:r>
    </w:p>
    <w:p w14:paraId="0D6C1A7D" w14:textId="77777777" w:rsidR="00AD631F" w:rsidRDefault="00AD631F" w:rsidP="00AD631F"/>
    <w:p w14:paraId="7A591959" w14:textId="5C644721" w:rsidR="00AD631F" w:rsidRDefault="00AD631F" w:rsidP="00AD631F">
      <w:pPr>
        <w:rPr>
          <w:b/>
        </w:rPr>
      </w:pPr>
      <w:r>
        <w:rPr>
          <w:b/>
        </w:rPr>
        <w:t>BOTH GROUPS MADE RATIFICATION POSSIBLE</w:t>
      </w:r>
    </w:p>
    <w:p w14:paraId="472E75A6" w14:textId="67358E73" w:rsidR="00AD631F" w:rsidRPr="00AD631F" w:rsidRDefault="00AD631F" w:rsidP="00AD631F">
      <w:pPr>
        <w:pStyle w:val="ListParagraph"/>
        <w:numPr>
          <w:ilvl w:val="0"/>
          <w:numId w:val="8"/>
        </w:numPr>
        <w:rPr>
          <w:b/>
        </w:rPr>
      </w:pPr>
      <w:r>
        <w:t>National Women’s Party creates public sympathy</w:t>
      </w:r>
    </w:p>
    <w:p w14:paraId="2C3ACF75" w14:textId="0CA6AE8B" w:rsidR="00AD631F" w:rsidRPr="00AD631F" w:rsidRDefault="00AD631F" w:rsidP="00AD631F">
      <w:pPr>
        <w:pStyle w:val="ListParagraph"/>
        <w:numPr>
          <w:ilvl w:val="0"/>
          <w:numId w:val="8"/>
        </w:numPr>
        <w:rPr>
          <w:b/>
        </w:rPr>
      </w:pPr>
      <w:r>
        <w:t>NAWSA rallies support for ratification in the states</w:t>
      </w:r>
    </w:p>
    <w:p w14:paraId="3E507214" w14:textId="77777777" w:rsidR="00364400" w:rsidRDefault="00364400" w:rsidP="00AD631F"/>
    <w:p w14:paraId="38795634" w14:textId="67380B49" w:rsidR="00AD631F" w:rsidRDefault="00AD631F" w:rsidP="00AD631F"/>
    <w:p w14:paraId="18B3CC15" w14:textId="77777777" w:rsidR="00AD631F" w:rsidRDefault="00AD631F" w:rsidP="00AD631F"/>
    <w:p w14:paraId="44A90FA1" w14:textId="77777777" w:rsidR="00AD631F" w:rsidRDefault="00AD631F" w:rsidP="00AD631F"/>
    <w:p w14:paraId="24C970B3" w14:textId="475858AF" w:rsidR="00AD631F" w:rsidRDefault="00AD631F" w:rsidP="00AD631F"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7A4E744F" wp14:editId="0C240E4F">
            <wp:simplePos x="0" y="0"/>
            <wp:positionH relativeFrom="column">
              <wp:posOffset>-914400</wp:posOffset>
            </wp:positionH>
            <wp:positionV relativeFrom="paragraph">
              <wp:posOffset>-474345</wp:posOffset>
            </wp:positionV>
            <wp:extent cx="7379335" cy="5617845"/>
            <wp:effectExtent l="0" t="0" r="12065" b="0"/>
            <wp:wrapNone/>
            <wp:docPr id="5" name="Picture 5" descr="ttp://3.bp.blogspot.com/_c5KlMWdcl1Q/TGvoAi7_HZI/AAAAAAAAA7Q/Tq0ZbE0ofJA/s1600/suffr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3.bp.blogspot.com/_c5KlMWdcl1Q/TGvoAi7_HZI/AAAAAAAAA7Q/Tq0ZbE0ofJA/s1600/suffrag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9335" cy="561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55B5E" w14:textId="77777777" w:rsidR="00AD631F" w:rsidRDefault="00AD631F" w:rsidP="00AD631F"/>
    <w:p w14:paraId="05BF04E9" w14:textId="77777777" w:rsidR="00AD631F" w:rsidRDefault="00AD631F" w:rsidP="00AD631F"/>
    <w:p w14:paraId="0C2C175E" w14:textId="77777777" w:rsidR="00AD631F" w:rsidRDefault="00AD631F" w:rsidP="00AD631F"/>
    <w:p w14:paraId="128937E2" w14:textId="77777777" w:rsidR="00AD631F" w:rsidRDefault="00AD631F" w:rsidP="00AD631F"/>
    <w:p w14:paraId="35319E90" w14:textId="77777777" w:rsidR="00AD631F" w:rsidRDefault="00AD631F" w:rsidP="00AD631F"/>
    <w:p w14:paraId="4B9CBC66" w14:textId="77777777" w:rsidR="00AD631F" w:rsidRDefault="00AD631F" w:rsidP="00AD631F"/>
    <w:p w14:paraId="56F476D6" w14:textId="77777777" w:rsidR="00AD631F" w:rsidRDefault="00AD631F" w:rsidP="00AD631F"/>
    <w:p w14:paraId="7B7FCB27" w14:textId="77777777" w:rsidR="00AD631F" w:rsidRDefault="00AD631F" w:rsidP="00AD631F"/>
    <w:p w14:paraId="70A18815" w14:textId="77777777" w:rsidR="00AD631F" w:rsidRDefault="00AD631F" w:rsidP="00AD631F"/>
    <w:p w14:paraId="7FEE83A3" w14:textId="77777777" w:rsidR="00AD631F" w:rsidRDefault="00AD631F" w:rsidP="00AD631F"/>
    <w:p w14:paraId="7C3D07B6" w14:textId="77777777" w:rsidR="00AD631F" w:rsidRDefault="00AD631F" w:rsidP="00AD631F"/>
    <w:p w14:paraId="4C5DC8ED" w14:textId="77777777" w:rsidR="00AD631F" w:rsidRDefault="00AD631F" w:rsidP="00AD631F"/>
    <w:p w14:paraId="44F21705" w14:textId="77777777" w:rsidR="00AD631F" w:rsidRDefault="00AD631F" w:rsidP="00AD631F"/>
    <w:p w14:paraId="1669FC60" w14:textId="77777777" w:rsidR="00AD631F" w:rsidRDefault="00AD631F" w:rsidP="00AD631F"/>
    <w:p w14:paraId="7B03B561" w14:textId="77777777" w:rsidR="00AD631F" w:rsidRDefault="00AD631F" w:rsidP="00AD631F"/>
    <w:p w14:paraId="58524784" w14:textId="77777777" w:rsidR="00AD631F" w:rsidRDefault="00AD631F" w:rsidP="00AD631F"/>
    <w:p w14:paraId="678E87C4" w14:textId="77777777" w:rsidR="00AD631F" w:rsidRDefault="00AD631F" w:rsidP="00AD631F"/>
    <w:p w14:paraId="61FB4ADC" w14:textId="77777777" w:rsidR="00AD631F" w:rsidRDefault="00AD631F" w:rsidP="00AD631F"/>
    <w:p w14:paraId="0073BFE7" w14:textId="77777777" w:rsidR="00AD631F" w:rsidRDefault="00AD631F" w:rsidP="00AD631F"/>
    <w:p w14:paraId="7395BC8F" w14:textId="77777777" w:rsidR="00AD631F" w:rsidRDefault="00AD631F" w:rsidP="00AD631F"/>
    <w:p w14:paraId="526FAA44" w14:textId="77777777" w:rsidR="00AD631F" w:rsidRDefault="00AD631F" w:rsidP="00AD631F"/>
    <w:p w14:paraId="20E3E2DF" w14:textId="77777777" w:rsidR="00AD631F" w:rsidRDefault="00AD631F" w:rsidP="00AD631F"/>
    <w:p w14:paraId="61835BA1" w14:textId="77777777" w:rsidR="00AD631F" w:rsidRDefault="00AD631F" w:rsidP="00AD631F"/>
    <w:p w14:paraId="2F3A414C" w14:textId="77777777" w:rsidR="00AD631F" w:rsidRDefault="00AD631F" w:rsidP="00AD631F"/>
    <w:p w14:paraId="075F086F" w14:textId="77777777" w:rsidR="00AD631F" w:rsidRDefault="00AD631F" w:rsidP="00AD631F"/>
    <w:p w14:paraId="63D32EBD" w14:textId="77777777" w:rsidR="00AD631F" w:rsidRDefault="00AD631F" w:rsidP="00AD631F"/>
    <w:p w14:paraId="37B4ED24" w14:textId="77777777" w:rsidR="00AD631F" w:rsidRDefault="00AD631F" w:rsidP="00AD631F"/>
    <w:p w14:paraId="32FA47CF" w14:textId="77777777" w:rsidR="00AD631F" w:rsidRDefault="00AD631F" w:rsidP="00AD631F"/>
    <w:sectPr w:rsidR="00AD631F" w:rsidSect="00B26193"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E0D38" w14:textId="77777777" w:rsidR="00364400" w:rsidRDefault="00364400" w:rsidP="00EA2498">
      <w:r>
        <w:separator/>
      </w:r>
    </w:p>
  </w:endnote>
  <w:endnote w:type="continuationSeparator" w:id="0">
    <w:p w14:paraId="2F3CF4DE" w14:textId="77777777" w:rsidR="00364400" w:rsidRDefault="00364400" w:rsidP="00EA2498">
      <w:r>
        <w:continuationSeparator/>
      </w:r>
    </w:p>
  </w:endnote>
  <w:endnote w:id="1">
    <w:p w14:paraId="12F27E05" w14:textId="5C6AEA6D" w:rsidR="00364400" w:rsidRPr="00EA2498" w:rsidRDefault="00364400">
      <w:pPr>
        <w:pStyle w:val="EndnoteText"/>
        <w:rPr>
          <w:i/>
        </w:rPr>
      </w:pPr>
      <w:r w:rsidRPr="00EA2498">
        <w:rPr>
          <w:rStyle w:val="EndnoteReference"/>
          <w:i/>
        </w:rPr>
        <w:endnoteRef/>
      </w:r>
      <w:r w:rsidRPr="00EA2498">
        <w:rPr>
          <w:i/>
        </w:rPr>
        <w:t xml:space="preserve"> </w:t>
      </w:r>
      <w:hyperlink r:id="rId1" w:history="1">
        <w:r w:rsidRPr="00D8573D">
          <w:rPr>
            <w:rStyle w:val="Hyperlink"/>
            <w:rFonts w:eastAsia="Times New Roman" w:cs="Times New Roman"/>
          </w:rPr>
          <w:t>www.youtube.com/watch?v=HGEMscZE5dY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3E2B4" w14:textId="77777777" w:rsidR="00364400" w:rsidRDefault="00364400" w:rsidP="00EA2498">
      <w:r>
        <w:separator/>
      </w:r>
    </w:p>
  </w:footnote>
  <w:footnote w:type="continuationSeparator" w:id="0">
    <w:p w14:paraId="70092800" w14:textId="77777777" w:rsidR="00364400" w:rsidRDefault="00364400" w:rsidP="00EA2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5CE"/>
    <w:multiLevelType w:val="hybridMultilevel"/>
    <w:tmpl w:val="FB0EE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52C92"/>
    <w:multiLevelType w:val="hybridMultilevel"/>
    <w:tmpl w:val="157A3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76B19"/>
    <w:multiLevelType w:val="hybridMultilevel"/>
    <w:tmpl w:val="C67E79F4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>
    <w:nsid w:val="2F26709D"/>
    <w:multiLevelType w:val="hybridMultilevel"/>
    <w:tmpl w:val="26CE0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0691A"/>
    <w:multiLevelType w:val="hybridMultilevel"/>
    <w:tmpl w:val="D4288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13ACC"/>
    <w:multiLevelType w:val="hybridMultilevel"/>
    <w:tmpl w:val="B594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40368"/>
    <w:multiLevelType w:val="hybridMultilevel"/>
    <w:tmpl w:val="99D28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893F17"/>
    <w:multiLevelType w:val="hybridMultilevel"/>
    <w:tmpl w:val="47FCE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79"/>
    <w:rsid w:val="00120317"/>
    <w:rsid w:val="00364400"/>
    <w:rsid w:val="00474179"/>
    <w:rsid w:val="00696EE3"/>
    <w:rsid w:val="009C41C2"/>
    <w:rsid w:val="00AD631F"/>
    <w:rsid w:val="00B26193"/>
    <w:rsid w:val="00EA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D7DD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1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19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193"/>
    <w:rPr>
      <w:rFonts w:ascii="Lucida Grande" w:hAnsi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EA2498"/>
  </w:style>
  <w:style w:type="character" w:customStyle="1" w:styleId="EndnoteTextChar">
    <w:name w:val="Endnote Text Char"/>
    <w:basedOn w:val="DefaultParagraphFont"/>
    <w:link w:val="EndnoteText"/>
    <w:uiPriority w:val="99"/>
    <w:rsid w:val="00EA2498"/>
  </w:style>
  <w:style w:type="character" w:styleId="EndnoteReference">
    <w:name w:val="endnote reference"/>
    <w:basedOn w:val="DefaultParagraphFont"/>
    <w:uiPriority w:val="99"/>
    <w:unhideWhenUsed/>
    <w:rsid w:val="00EA2498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EA2498"/>
    <w:rPr>
      <w:i/>
      <w:iCs/>
    </w:rPr>
  </w:style>
  <w:style w:type="character" w:styleId="Hyperlink">
    <w:name w:val="Hyperlink"/>
    <w:basedOn w:val="DefaultParagraphFont"/>
    <w:uiPriority w:val="99"/>
    <w:unhideWhenUsed/>
    <w:rsid w:val="00EA24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1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19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193"/>
    <w:rPr>
      <w:rFonts w:ascii="Lucida Grande" w:hAnsi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EA2498"/>
  </w:style>
  <w:style w:type="character" w:customStyle="1" w:styleId="EndnoteTextChar">
    <w:name w:val="Endnote Text Char"/>
    <w:basedOn w:val="DefaultParagraphFont"/>
    <w:link w:val="EndnoteText"/>
    <w:uiPriority w:val="99"/>
    <w:rsid w:val="00EA2498"/>
  </w:style>
  <w:style w:type="character" w:styleId="EndnoteReference">
    <w:name w:val="endnote reference"/>
    <w:basedOn w:val="DefaultParagraphFont"/>
    <w:uiPriority w:val="99"/>
    <w:unhideWhenUsed/>
    <w:rsid w:val="00EA2498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EA2498"/>
    <w:rPr>
      <w:i/>
      <w:iCs/>
    </w:rPr>
  </w:style>
  <w:style w:type="character" w:styleId="Hyperlink">
    <w:name w:val="Hyperlink"/>
    <w:basedOn w:val="DefaultParagraphFont"/>
    <w:uiPriority w:val="99"/>
    <w:unhideWhenUsed/>
    <w:rsid w:val="00EA24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teachamericanhistory.org/File/harry_T._Burn_Top_10.pdf" TargetMode="External"/><Relationship Id="rId10" Type="http://schemas.openxmlformats.org/officeDocument/2006/relationships/hyperlink" Target="http://www.teachamericanhistory.org/File/Harry_T._Burn.pdf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youtube.com/watch?v=HGEMscZE5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479</Words>
  <Characters>2732</Characters>
  <Application>Microsoft Macintosh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5</cp:revision>
  <dcterms:created xsi:type="dcterms:W3CDTF">2013-10-31T15:29:00Z</dcterms:created>
  <dcterms:modified xsi:type="dcterms:W3CDTF">2013-11-01T12:05:00Z</dcterms:modified>
</cp:coreProperties>
</file>